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8D052" w14:textId="5592D84E" w:rsidR="00166665" w:rsidRPr="00B266B0" w:rsidRDefault="00166665" w:rsidP="6F86E34A">
      <w:pPr>
        <w:pStyle w:val="Header"/>
        <w:tabs>
          <w:tab w:val="right" w:pos="9639"/>
        </w:tabs>
        <w:rPr>
          <w:i/>
          <w:iCs/>
          <w:noProof w:val="0"/>
          <w:sz w:val="24"/>
          <w:szCs w:val="24"/>
        </w:rPr>
      </w:pPr>
      <w:r w:rsidRPr="6F86E34A">
        <w:rPr>
          <w:noProof w:val="0"/>
          <w:sz w:val="24"/>
          <w:szCs w:val="24"/>
        </w:rPr>
        <w:t xml:space="preserve">3GPP TSG-RAN </w:t>
      </w:r>
      <w:r>
        <w:rPr>
          <w:noProof w:val="0"/>
          <w:sz w:val="24"/>
          <w:szCs w:val="24"/>
        </w:rPr>
        <w:t>WG2 #99</w:t>
      </w:r>
      <w:r w:rsidRPr="00B266B0">
        <w:rPr>
          <w:bCs/>
          <w:noProof w:val="0"/>
          <w:sz w:val="24"/>
          <w:szCs w:val="24"/>
        </w:rPr>
        <w:tab/>
      </w:r>
      <w:r w:rsidRPr="6F86E34A">
        <w:rPr>
          <w:noProof w:val="0"/>
          <w:sz w:val="24"/>
          <w:szCs w:val="24"/>
        </w:rPr>
        <w:t>R2-17</w:t>
      </w:r>
      <w:r w:rsidR="007B577A">
        <w:rPr>
          <w:noProof w:val="0"/>
          <w:sz w:val="24"/>
          <w:szCs w:val="24"/>
        </w:rPr>
        <w:t>09245</w:t>
      </w:r>
      <w:bookmarkStart w:id="0" w:name="_GoBack"/>
      <w:bookmarkEnd w:id="0"/>
    </w:p>
    <w:p w14:paraId="3B9CBE6B" w14:textId="77777777" w:rsidR="00166665" w:rsidRPr="00B266B0" w:rsidRDefault="6F86E34A" w:rsidP="6F86E34A">
      <w:pPr>
        <w:pStyle w:val="Header"/>
        <w:tabs>
          <w:tab w:val="right" w:pos="9639"/>
        </w:tabs>
        <w:rPr>
          <w:noProof w:val="0"/>
          <w:sz w:val="24"/>
          <w:szCs w:val="24"/>
        </w:rPr>
      </w:pPr>
      <w:r w:rsidRPr="6F86E34A">
        <w:rPr>
          <w:rFonts w:eastAsia="SimSun"/>
          <w:noProof w:val="0"/>
          <w:sz w:val="24"/>
          <w:szCs w:val="24"/>
          <w:lang w:eastAsia="zh-CN"/>
        </w:rPr>
        <w:t>Berlin, Germany, 21 - 25 August 2017</w:t>
      </w:r>
    </w:p>
    <w:p w14:paraId="3F692EE5" w14:textId="77777777" w:rsidR="00166665" w:rsidRPr="00B266B0" w:rsidRDefault="00166665" w:rsidP="00B703DD">
      <w:pPr>
        <w:pStyle w:val="Header"/>
        <w:rPr>
          <w:bCs/>
          <w:noProof w:val="0"/>
          <w:sz w:val="24"/>
        </w:rPr>
      </w:pPr>
    </w:p>
    <w:p w14:paraId="3308DD9A" w14:textId="7037D35A" w:rsidR="00B703DD" w:rsidRPr="00B266B0" w:rsidRDefault="00B703DD" w:rsidP="6F86E34A">
      <w:pPr>
        <w:pStyle w:val="CRCoverPage"/>
        <w:tabs>
          <w:tab w:val="left" w:pos="1985"/>
        </w:tabs>
        <w:rPr>
          <w:rFonts w:cs="Arial"/>
          <w:b/>
          <w:bCs/>
          <w:sz w:val="24"/>
          <w:szCs w:val="24"/>
          <w:lang w:eastAsia="ja-JP"/>
        </w:rPr>
      </w:pPr>
      <w:r w:rsidRPr="6F86E34A">
        <w:rPr>
          <w:rFonts w:cs="Arial"/>
          <w:b/>
          <w:bCs/>
          <w:sz w:val="24"/>
          <w:szCs w:val="24"/>
        </w:rPr>
        <w:t>Agenda item:</w:t>
      </w:r>
      <w:r>
        <w:rPr>
          <w:rFonts w:cs="Arial"/>
          <w:b/>
          <w:bCs/>
          <w:sz w:val="24"/>
        </w:rPr>
        <w:tab/>
      </w:r>
      <w:r w:rsidR="00D451FF" w:rsidRPr="6F86E34A">
        <w:rPr>
          <w:rFonts w:cs="Arial"/>
          <w:b/>
          <w:bCs/>
          <w:sz w:val="24"/>
          <w:szCs w:val="24"/>
        </w:rPr>
        <w:t>10.2.9</w:t>
      </w:r>
    </w:p>
    <w:p w14:paraId="762A1FC7" w14:textId="0623836F" w:rsidR="00B703DD" w:rsidRPr="00B266B0" w:rsidRDefault="00B703DD" w:rsidP="6F86E34A">
      <w:pPr>
        <w:tabs>
          <w:tab w:val="left" w:pos="1985"/>
        </w:tabs>
        <w:ind w:left="1985" w:hanging="1985"/>
        <w:rPr>
          <w:rFonts w:ascii="Arial" w:hAnsi="Arial" w:cs="Arial"/>
          <w:b/>
          <w:bCs/>
          <w:sz w:val="24"/>
          <w:szCs w:val="24"/>
        </w:rPr>
      </w:pPr>
      <w:r w:rsidRPr="6F86E34A">
        <w:rPr>
          <w:rFonts w:ascii="Arial" w:hAnsi="Arial" w:cs="Arial"/>
          <w:b/>
          <w:bCs/>
          <w:sz w:val="24"/>
          <w:szCs w:val="24"/>
        </w:rPr>
        <w:t>Source:</w:t>
      </w:r>
      <w:r w:rsidRPr="00B266B0">
        <w:rPr>
          <w:rFonts w:ascii="Arial" w:hAnsi="Arial" w:cs="Arial"/>
          <w:b/>
          <w:bCs/>
          <w:sz w:val="24"/>
        </w:rPr>
        <w:tab/>
      </w:r>
      <w:bookmarkStart w:id="1" w:name="_Hlk490227293"/>
      <w:r w:rsidR="00D1048D" w:rsidRPr="6F86E34A">
        <w:rPr>
          <w:rFonts w:ascii="Arial" w:hAnsi="Arial" w:cs="Arial"/>
          <w:b/>
          <w:bCs/>
          <w:sz w:val="24"/>
          <w:szCs w:val="24"/>
        </w:rPr>
        <w:t>Nokia, Nokia Shanghai Bell</w:t>
      </w:r>
      <w:bookmarkEnd w:id="1"/>
    </w:p>
    <w:p w14:paraId="49121665" w14:textId="02ECE0D9" w:rsidR="00B703DD" w:rsidRDefault="00B703DD" w:rsidP="6F86E34A">
      <w:pPr>
        <w:ind w:left="1985" w:hanging="1985"/>
        <w:rPr>
          <w:rFonts w:ascii="Arial" w:hAnsi="Arial" w:cs="Arial"/>
          <w:b/>
          <w:bCs/>
          <w:sz w:val="24"/>
          <w:szCs w:val="24"/>
        </w:rPr>
      </w:pPr>
      <w:r w:rsidRPr="6F86E34A">
        <w:rPr>
          <w:rFonts w:ascii="Arial" w:hAnsi="Arial" w:cs="Arial"/>
          <w:b/>
          <w:bCs/>
          <w:sz w:val="24"/>
          <w:szCs w:val="24"/>
        </w:rPr>
        <w:t>Title:</w:t>
      </w:r>
      <w:r w:rsidRPr="00B266B0">
        <w:rPr>
          <w:rFonts w:ascii="Arial" w:hAnsi="Arial" w:cs="Arial"/>
          <w:b/>
          <w:bCs/>
          <w:sz w:val="24"/>
        </w:rPr>
        <w:tab/>
      </w:r>
      <w:r w:rsidR="00176DDC" w:rsidRPr="00176DDC">
        <w:rPr>
          <w:rFonts w:ascii="Arial" w:hAnsi="Arial" w:cs="Arial"/>
          <w:b/>
          <w:bCs/>
          <w:sz w:val="24"/>
        </w:rPr>
        <w:t>Further considerations on SCG Failure Indication handling</w:t>
      </w:r>
    </w:p>
    <w:p w14:paraId="55F1F955" w14:textId="77777777" w:rsidR="00B703DD" w:rsidRPr="00B266B0" w:rsidRDefault="00B703DD" w:rsidP="6F86E34A">
      <w:pPr>
        <w:ind w:left="1985" w:hanging="1985"/>
        <w:rPr>
          <w:rFonts w:ascii="Arial" w:hAnsi="Arial" w:cs="Arial"/>
          <w:b/>
          <w:bCs/>
          <w:sz w:val="24"/>
          <w:szCs w:val="24"/>
        </w:rPr>
      </w:pPr>
      <w:r w:rsidRPr="6F86E34A">
        <w:rPr>
          <w:rFonts w:ascii="Arial" w:hAnsi="Arial" w:cs="Arial"/>
          <w:b/>
          <w:bCs/>
          <w:sz w:val="24"/>
          <w:szCs w:val="24"/>
        </w:rPr>
        <w:t>WID/SID:</w:t>
      </w:r>
      <w:r>
        <w:rPr>
          <w:rFonts w:ascii="Arial" w:hAnsi="Arial" w:cs="Arial"/>
          <w:b/>
          <w:bCs/>
          <w:sz w:val="24"/>
        </w:rPr>
        <w:tab/>
      </w:r>
      <w:r w:rsidRPr="6F86E34A">
        <w:rPr>
          <w:rFonts w:ascii="Arial" w:hAnsi="Arial" w:cs="Arial"/>
          <w:b/>
          <w:bCs/>
          <w:sz w:val="24"/>
          <w:szCs w:val="24"/>
        </w:rPr>
        <w:t>NR_newRAT (Release 15)</w:t>
      </w:r>
    </w:p>
    <w:p w14:paraId="7B197F59" w14:textId="1BE30F3E" w:rsidR="00B703DD" w:rsidRDefault="00B703DD" w:rsidP="00B703DD">
      <w:pPr>
        <w:pStyle w:val="Header"/>
        <w:tabs>
          <w:tab w:val="right" w:pos="9639"/>
        </w:tabs>
        <w:rPr>
          <w:rFonts w:cs="Arial"/>
          <w:bCs/>
          <w:sz w:val="24"/>
        </w:rPr>
      </w:pPr>
      <w:r>
        <w:rPr>
          <w:rFonts w:cs="Arial"/>
          <w:bCs/>
          <w:sz w:val="24"/>
        </w:rPr>
        <w:t xml:space="preserve">Document for:     </w:t>
      </w:r>
      <w:r w:rsidRPr="00B266B0">
        <w:rPr>
          <w:rFonts w:cs="Arial"/>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DAF7ED6" w14:textId="3373895C" w:rsidR="00DD4CEC" w:rsidRDefault="6F86E34A" w:rsidP="00CD4C7B">
      <w:r>
        <w:t xml:space="preserve">During the RAN2 NR AdHoc meeting in Qingdao, the following agreements were made while discussing the </w:t>
      </w:r>
      <w:r w:rsidR="008B06D1">
        <w:t xml:space="preserve">actions </w:t>
      </w:r>
      <w:r>
        <w:t xml:space="preserve">performed by the </w:t>
      </w:r>
      <w:r w:rsidR="008B06D1">
        <w:t xml:space="preserve">network </w:t>
      </w:r>
      <w:r>
        <w:t xml:space="preserve">upon S-RLF. </w:t>
      </w:r>
    </w:p>
    <w:p w14:paraId="6432E40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Agreements:</w:t>
      </w:r>
    </w:p>
    <w:p w14:paraId="0F6204C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1</w:t>
      </w:r>
      <w:r>
        <w:tab/>
        <w:t>For all SCG failure cases, the UE maintains the current measurement configurations from both the MN and the SN (i.e. UE does not take autonomous action) and UE continues measurements based on configuration from the MN.</w:t>
      </w:r>
    </w:p>
    <w:p w14:paraId="3E5D4CC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 xml:space="preserve">FFS whether the UE continues measurements based on configuration from the SN </w:t>
      </w:r>
    </w:p>
    <w:p w14:paraId="1C5696DB"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2</w:t>
      </w:r>
      <w:r>
        <w:tab/>
        <w:t>UE includes in the SCGFailureInformation message the measurement results available according to current measurement configuration of both the MN and the SN.</w:t>
      </w:r>
    </w:p>
    <w:p w14:paraId="40E60402"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3</w:t>
      </w:r>
      <w:r>
        <w:tab/>
      </w:r>
      <w:r w:rsidRPr="008B06D1">
        <w:rPr>
          <w:highlight w:val="cyan"/>
        </w:rPr>
        <w:t>The MN handles the SCGFailureInformation and may decide to keep, change, or release the SN/SCG. The measurement results according to the SN configuration can, in all cases, be forwarded to the old SN and/or to the new SN.</w:t>
      </w:r>
    </w:p>
    <w:p w14:paraId="5334A042" w14:textId="77777777" w:rsidR="00DD4CEC" w:rsidRDefault="6F86E34A" w:rsidP="00DD4CEC">
      <w:pPr>
        <w:pStyle w:val="Doc-text2"/>
        <w:pBdr>
          <w:top w:val="single" w:sz="4" w:space="1" w:color="auto"/>
          <w:left w:val="single" w:sz="4" w:space="4" w:color="auto"/>
          <w:bottom w:val="single" w:sz="4" w:space="1" w:color="auto"/>
          <w:right w:val="single" w:sz="4" w:space="4" w:color="auto"/>
        </w:pBdr>
      </w:pPr>
      <w:r>
        <w:t>FFS if a different SN can interpret the measurement results based on the configuration from the old SN</w:t>
      </w:r>
    </w:p>
    <w:p w14:paraId="24F4F485" w14:textId="77777777" w:rsidR="00DD4CEC" w:rsidRDefault="00DD4CEC" w:rsidP="00DD4CEC">
      <w:pPr>
        <w:pStyle w:val="Doc-text2"/>
        <w:pBdr>
          <w:top w:val="single" w:sz="4" w:space="1" w:color="auto"/>
          <w:left w:val="single" w:sz="4" w:space="4" w:color="auto"/>
          <w:bottom w:val="single" w:sz="4" w:space="1" w:color="auto"/>
          <w:right w:val="single" w:sz="4" w:space="4" w:color="auto"/>
        </w:pBdr>
      </w:pPr>
      <w:r>
        <w:t>4</w:t>
      </w:r>
      <w:r>
        <w:tab/>
        <w:t>The UE includes two measurement results in the SCGFailureInformation message: 1) measurement results according to the MN configuration encoded in LTE RRC format, and 2) measurement results according to the SN configuration</w:t>
      </w:r>
    </w:p>
    <w:p w14:paraId="3B2057D8" w14:textId="09CF999D" w:rsidR="00DD4CEC" w:rsidRDefault="6F86E34A" w:rsidP="00DD4CEC">
      <w:pPr>
        <w:pStyle w:val="Doc-text2"/>
        <w:pBdr>
          <w:top w:val="single" w:sz="4" w:space="1" w:color="auto"/>
          <w:left w:val="single" w:sz="4" w:space="4" w:color="auto"/>
          <w:bottom w:val="single" w:sz="4" w:space="1" w:color="auto"/>
          <w:right w:val="single" w:sz="4" w:space="4" w:color="auto"/>
        </w:pBdr>
      </w:pPr>
      <w:r>
        <w:t>FFS Whether the measurement results according to the SN configuration are encoded in NR RRC format and included in a container</w:t>
      </w:r>
    </w:p>
    <w:p w14:paraId="65094939" w14:textId="77777777" w:rsidR="00DD4CEC" w:rsidRDefault="00DD4CEC" w:rsidP="00CD4C7B"/>
    <w:p w14:paraId="3B5CD4CA" w14:textId="10A48D29" w:rsidR="00B703DD" w:rsidRPr="006E13D1" w:rsidRDefault="6F86E34A" w:rsidP="00CD4C7B">
      <w:r>
        <w:t xml:space="preserve">In this discussion paper, we discuss the </w:t>
      </w:r>
      <w:r w:rsidR="008B06D1">
        <w:t xml:space="preserve">chronology of actions </w:t>
      </w:r>
      <w:r>
        <w:t xml:space="preserve">performed by the </w:t>
      </w:r>
      <w:r w:rsidR="008B06D1">
        <w:t xml:space="preserve">network </w:t>
      </w:r>
      <w:r>
        <w:t xml:space="preserve">post SCG RLF. </w:t>
      </w:r>
    </w:p>
    <w:p w14:paraId="127ACA6D" w14:textId="63D0C2B0" w:rsidR="00CD4C7B" w:rsidRPr="006E13D1" w:rsidRDefault="00CD4C7B" w:rsidP="00CD4C7B">
      <w:pPr>
        <w:pStyle w:val="Heading1"/>
      </w:pPr>
      <w:r w:rsidRPr="006E13D1">
        <w:t>2</w:t>
      </w:r>
      <w:r w:rsidRPr="006E13D1">
        <w:tab/>
      </w:r>
      <w:r w:rsidR="00B703DD">
        <w:t>Background</w:t>
      </w:r>
    </w:p>
    <w:p w14:paraId="30AFF164" w14:textId="4EB12FB9" w:rsidR="00B703DD" w:rsidRDefault="6F86E34A" w:rsidP="00CD4C7B">
      <w:r>
        <w:t xml:space="preserve">In LTE DC, a UE monitors the radio quality of the SeNB PSCell via. similar radio link monitoring (RLM) procedures as for MeNB PCell. This is called secondary radio link monitoring (S-RLM) and the occurrence of UE detecting the radio link failure (RLF) of PSCell is referred to as secondary RLF (S-RLF). When S-RLF occurs, the UE stops utilizing the radio resources of the SeNB (i.e., suspends the Secondary Cell Group (SCG) by no longer attempting to receive DL or send UL towards the SeNB) and indicates the failure to MeNB via uplink (using the message “secondary cell group (SCG) failure report”), </w:t>
      </w:r>
      <w:r w:rsidR="0085755B">
        <w:t>which contains information of the latest measurements of frequencies configured by SN</w:t>
      </w:r>
      <w:r>
        <w:t xml:space="preserve">. </w:t>
      </w:r>
    </w:p>
    <w:p w14:paraId="562B4D79" w14:textId="0A66D224" w:rsidR="000D72C9" w:rsidRPr="005C1701" w:rsidRDefault="6F86E34A" w:rsidP="00CD4C7B">
      <w:pPr>
        <w:rPr>
          <w:color w:val="FF0000"/>
        </w:rPr>
      </w:pPr>
      <w:r>
        <w:t>In LTE DC, it was up to MeNB to act per the S-RLF indication (“SCG failure report”), and MeNB was fully aware of the UE measurement configuration and was controlling the SeNB</w:t>
      </w:r>
      <w:r w:rsidRPr="015811E6">
        <w:t xml:space="preserve"> </w:t>
      </w:r>
      <w:r>
        <w:t>SCell mobility fully, and could react to the occurrence of the S-RLF. However, with LTE-NR DC, the SgNB is in control of the intra SgNB mobility, and the SgNB leg may also fail differently due to, for example, the beam management procedures with higher carrier frequencies or due to LOS blockage occurring</w:t>
      </w:r>
      <w:r w:rsidR="009A0C30">
        <w:t xml:space="preserve"> or non-delivery of HO command etc</w:t>
      </w:r>
      <w:r>
        <w:t>.</w:t>
      </w:r>
      <w:r w:rsidR="005C1701">
        <w:t xml:space="preserve"> </w:t>
      </w:r>
      <w:r w:rsidR="000D72C9">
        <w:t>Hence, MN should not make a decision about change/release the SN without offering the first chance to SN.</w:t>
      </w:r>
    </w:p>
    <w:p w14:paraId="0C82E328" w14:textId="181AF77E" w:rsidR="00F52EE7" w:rsidRDefault="000D72C9" w:rsidP="000D72C9">
      <w:pPr>
        <w:rPr>
          <w:b/>
          <w:bCs/>
        </w:rPr>
      </w:pPr>
      <w:r>
        <w:rPr>
          <w:b/>
          <w:bCs/>
        </w:rPr>
        <w:object w:dxaOrig="20881" w:dyaOrig="10210" w14:anchorId="0FEC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9pt;height:242.75pt" o:ole="">
            <v:imagedata r:id="rId11" o:title=""/>
          </v:shape>
          <o:OLEObject Type="Embed" ProgID="Visio.Drawing.11" ShapeID="_x0000_i1025" DrawAspect="Content" ObjectID="_1563969149" r:id="rId12"/>
        </w:object>
      </w:r>
    </w:p>
    <w:p w14:paraId="5D9565C1" w14:textId="333A97DC" w:rsidR="000D72C9" w:rsidRDefault="000D72C9" w:rsidP="000D72C9">
      <w:pPr>
        <w:jc w:val="center"/>
        <w:rPr>
          <w:b/>
        </w:rPr>
      </w:pPr>
      <w:r>
        <w:rPr>
          <w:b/>
          <w:bCs/>
        </w:rPr>
        <w:t>Figure 1 : Illustration of a typical LTE-NR DC deployment scenario</w:t>
      </w:r>
    </w:p>
    <w:p w14:paraId="6B508682" w14:textId="77777777" w:rsidR="000D72C9" w:rsidRDefault="000D72C9" w:rsidP="6F86E34A">
      <w:pPr>
        <w:rPr>
          <w:b/>
          <w:bCs/>
        </w:rPr>
      </w:pPr>
    </w:p>
    <w:p w14:paraId="3F0B836C" w14:textId="29CEF405" w:rsidR="000D72C9" w:rsidRDefault="000D72C9" w:rsidP="6F86E34A">
      <w:pPr>
        <w:rPr>
          <w:bCs/>
        </w:rPr>
      </w:pPr>
      <w:r w:rsidRPr="000D72C9">
        <w:rPr>
          <w:bCs/>
        </w:rPr>
        <w:t xml:space="preserve">The problem </w:t>
      </w:r>
      <w:r>
        <w:rPr>
          <w:bCs/>
        </w:rPr>
        <w:t>is best illustrated with the above figure.</w:t>
      </w:r>
      <w:r w:rsidR="009A0C30">
        <w:rPr>
          <w:bCs/>
        </w:rPr>
        <w:t xml:space="preserve"> There are two scenarios under which an S-RLF could occur.</w:t>
      </w:r>
    </w:p>
    <w:p w14:paraId="03742934" w14:textId="7315CFF3" w:rsidR="009A0C30" w:rsidRDefault="009A0C30" w:rsidP="009A0C30">
      <w:pPr>
        <w:pStyle w:val="ListParagraph"/>
        <w:numPr>
          <w:ilvl w:val="0"/>
          <w:numId w:val="5"/>
        </w:numPr>
        <w:rPr>
          <w:bCs/>
        </w:rPr>
      </w:pPr>
      <w:r>
        <w:rPr>
          <w:bCs/>
        </w:rPr>
        <w:t>When there is permanent loss of 5G coverage eg: when a UE moves deep into the grey area of the above figure.</w:t>
      </w:r>
    </w:p>
    <w:p w14:paraId="26D7A1D4" w14:textId="33E3431D" w:rsidR="009A0C30" w:rsidRDefault="009A0C30" w:rsidP="009A0C30">
      <w:pPr>
        <w:pStyle w:val="ListParagraph"/>
        <w:numPr>
          <w:ilvl w:val="0"/>
          <w:numId w:val="5"/>
        </w:numPr>
        <w:rPr>
          <w:bCs/>
        </w:rPr>
      </w:pPr>
      <w:r>
        <w:rPr>
          <w:bCs/>
        </w:rPr>
        <w:t>When there is temporary loss of 5G coverage eg: when a UE encounters a coverage hole while moving from one white ellipse to the other of the above figure.</w:t>
      </w:r>
    </w:p>
    <w:p w14:paraId="3092748C" w14:textId="2EC6650C" w:rsidR="009A0C30" w:rsidRDefault="009A0C30" w:rsidP="009A0C30">
      <w:pPr>
        <w:rPr>
          <w:bCs/>
        </w:rPr>
      </w:pPr>
      <w:r>
        <w:rPr>
          <w:bCs/>
        </w:rPr>
        <w:t xml:space="preserve">While in case a, the UE is less likely to report a strong candidate </w:t>
      </w:r>
      <w:r w:rsidR="00BD0E51">
        <w:rPr>
          <w:bCs/>
        </w:rPr>
        <w:t>PS</w:t>
      </w:r>
      <w:r>
        <w:rPr>
          <w:bCs/>
        </w:rPr>
        <w:t xml:space="preserve">cell in the </w:t>
      </w:r>
      <w:r w:rsidR="00B22504">
        <w:rPr>
          <w:bCs/>
        </w:rPr>
        <w:t>SCG</w:t>
      </w:r>
      <w:r>
        <w:rPr>
          <w:bCs/>
        </w:rPr>
        <w:t xml:space="preserve"> failure information to MN, in case b, the UE is very likely to report a strong candidate </w:t>
      </w:r>
      <w:r w:rsidR="00BD0E51">
        <w:rPr>
          <w:bCs/>
        </w:rPr>
        <w:t>PS</w:t>
      </w:r>
      <w:r>
        <w:rPr>
          <w:bCs/>
        </w:rPr>
        <w:t>cell. Hence, it is very important in case b for the MN to forward the S</w:t>
      </w:r>
      <w:r w:rsidR="00B22504">
        <w:rPr>
          <w:bCs/>
        </w:rPr>
        <w:t>CG</w:t>
      </w:r>
      <w:r>
        <w:rPr>
          <w:bCs/>
        </w:rPr>
        <w:t xml:space="preserve"> failure information to SN </w:t>
      </w:r>
      <w:r w:rsidR="002913A2">
        <w:rPr>
          <w:bCs/>
        </w:rPr>
        <w:t>and wait for a confirmation from SN before making a decision to change/release the SN.</w:t>
      </w:r>
    </w:p>
    <w:p w14:paraId="36ADCAF9" w14:textId="57093395" w:rsidR="002913A2" w:rsidRDefault="002913A2" w:rsidP="009A0C30">
      <w:pPr>
        <w:rPr>
          <w:bCs/>
        </w:rPr>
      </w:pPr>
      <w:r>
        <w:rPr>
          <w:bCs/>
        </w:rPr>
        <w:t xml:space="preserve">SN also has </w:t>
      </w:r>
      <w:r w:rsidR="00BD0E51">
        <w:rPr>
          <w:bCs/>
        </w:rPr>
        <w:t xml:space="preserve">already </w:t>
      </w:r>
      <w:r w:rsidR="00952931">
        <w:rPr>
          <w:bCs/>
        </w:rPr>
        <w:t xml:space="preserve">allocated </w:t>
      </w:r>
      <w:r>
        <w:rPr>
          <w:bCs/>
        </w:rPr>
        <w:t xml:space="preserve">the resources </w:t>
      </w:r>
      <w:r w:rsidR="00B22504">
        <w:rPr>
          <w:bCs/>
        </w:rPr>
        <w:t xml:space="preserve">for the UE’s MR-DC bearer and it is appropriate to provide SN the first chance to check if the UE can be recovered in SN before changing </w:t>
      </w:r>
      <w:r w:rsidR="00952931">
        <w:rPr>
          <w:bCs/>
        </w:rPr>
        <w:t xml:space="preserve">SN </w:t>
      </w:r>
      <w:r w:rsidR="00B22504">
        <w:rPr>
          <w:bCs/>
        </w:rPr>
        <w:t xml:space="preserve">or releasing the resources. If the SN finds out that the candidate cell reported by the UE in SCG failure report belongs to a different SN, it can </w:t>
      </w:r>
      <w:r w:rsidR="00952931">
        <w:rPr>
          <w:bCs/>
        </w:rPr>
        <w:t xml:space="preserve">also </w:t>
      </w:r>
      <w:r w:rsidR="00B22504">
        <w:rPr>
          <w:bCs/>
        </w:rPr>
        <w:t xml:space="preserve">trigger </w:t>
      </w:r>
      <w:r w:rsidR="00952931">
        <w:rPr>
          <w:bCs/>
        </w:rPr>
        <w:t xml:space="preserve">a </w:t>
      </w:r>
      <w:r w:rsidR="00B22504">
        <w:rPr>
          <w:bCs/>
        </w:rPr>
        <w:t>SN initiated SN change towards MN.</w:t>
      </w:r>
    </w:p>
    <w:p w14:paraId="4FACE343" w14:textId="26ABF33F" w:rsidR="002913A2" w:rsidRPr="009A0C30" w:rsidRDefault="002913A2" w:rsidP="009A0C30">
      <w:pPr>
        <w:rPr>
          <w:bCs/>
        </w:rPr>
      </w:pPr>
      <w:r>
        <w:rPr>
          <w:bCs/>
        </w:rPr>
        <w:t>In this context, we make the following proposals</w:t>
      </w:r>
    </w:p>
    <w:p w14:paraId="18431045" w14:textId="064504D9" w:rsidR="00F52EE7" w:rsidRDefault="6F86E34A" w:rsidP="6F86E34A">
      <w:pPr>
        <w:rPr>
          <w:b/>
          <w:bCs/>
        </w:rPr>
      </w:pPr>
      <w:r w:rsidRPr="6F86E34A">
        <w:rPr>
          <w:b/>
          <w:bCs/>
        </w:rPr>
        <w:t xml:space="preserve">Proposal </w:t>
      </w:r>
      <w:r w:rsidR="002913A2">
        <w:rPr>
          <w:b/>
          <w:bCs/>
        </w:rPr>
        <w:t>1</w:t>
      </w:r>
      <w:r w:rsidRPr="6F86E34A">
        <w:rPr>
          <w:b/>
          <w:bCs/>
        </w:rPr>
        <w:t xml:space="preserve">: </w:t>
      </w:r>
      <w:r w:rsidR="005C1701">
        <w:rPr>
          <w:b/>
          <w:bCs/>
        </w:rPr>
        <w:t xml:space="preserve">The MN will always forward the </w:t>
      </w:r>
      <w:r w:rsidR="005C1701" w:rsidRPr="00176DDC">
        <w:rPr>
          <w:b/>
          <w:bCs/>
        </w:rPr>
        <w:t>SCGFailureInformation</w:t>
      </w:r>
      <w:r w:rsidR="005C1701">
        <w:rPr>
          <w:b/>
          <w:bCs/>
        </w:rPr>
        <w:t xml:space="preserve"> message to the old SN. </w:t>
      </w:r>
    </w:p>
    <w:p w14:paraId="226C79C6" w14:textId="6FCAD5DB" w:rsidR="002913A2" w:rsidRDefault="002913A2" w:rsidP="6F86E34A">
      <w:pPr>
        <w:rPr>
          <w:b/>
          <w:bCs/>
        </w:rPr>
      </w:pPr>
      <w:r>
        <w:rPr>
          <w:b/>
          <w:bCs/>
        </w:rPr>
        <w:t xml:space="preserve">Proposal 2: </w:t>
      </w:r>
      <w:r w:rsidR="005C1701">
        <w:rPr>
          <w:b/>
          <w:bCs/>
        </w:rPr>
        <w:t xml:space="preserve">The old </w:t>
      </w:r>
      <w:r>
        <w:rPr>
          <w:b/>
          <w:bCs/>
        </w:rPr>
        <w:t>SN</w:t>
      </w:r>
      <w:r w:rsidR="005C1701">
        <w:rPr>
          <w:b/>
          <w:bCs/>
        </w:rPr>
        <w:t xml:space="preserve"> processes the</w:t>
      </w:r>
      <w:r>
        <w:rPr>
          <w:b/>
          <w:bCs/>
        </w:rPr>
        <w:t xml:space="preserve"> </w:t>
      </w:r>
      <w:r w:rsidR="00B22504">
        <w:rPr>
          <w:b/>
          <w:bCs/>
        </w:rPr>
        <w:t>SCG failure information and decide</w:t>
      </w:r>
      <w:r w:rsidR="005C1701">
        <w:rPr>
          <w:b/>
          <w:bCs/>
        </w:rPr>
        <w:t>s either</w:t>
      </w:r>
      <w:r w:rsidR="00B22504">
        <w:rPr>
          <w:b/>
          <w:bCs/>
        </w:rPr>
        <w:t xml:space="preserve"> </w:t>
      </w:r>
      <w:r w:rsidR="00B07592">
        <w:rPr>
          <w:b/>
          <w:bCs/>
        </w:rPr>
        <w:t xml:space="preserve">one of the following: retain </w:t>
      </w:r>
      <w:r w:rsidR="00C607F8">
        <w:rPr>
          <w:b/>
          <w:bCs/>
        </w:rPr>
        <w:t xml:space="preserve">the UE </w:t>
      </w:r>
      <w:r w:rsidR="00B07592">
        <w:rPr>
          <w:b/>
          <w:bCs/>
        </w:rPr>
        <w:t>in the</w:t>
      </w:r>
      <w:r w:rsidR="00C607F8">
        <w:rPr>
          <w:b/>
          <w:bCs/>
        </w:rPr>
        <w:t xml:space="preserve"> same SN</w:t>
      </w:r>
      <w:r w:rsidR="00B07592">
        <w:rPr>
          <w:b/>
          <w:bCs/>
        </w:rPr>
        <w:t xml:space="preserve">, </w:t>
      </w:r>
      <w:r w:rsidR="00C607F8">
        <w:rPr>
          <w:b/>
          <w:bCs/>
        </w:rPr>
        <w:t>trigger SN change</w:t>
      </w:r>
      <w:r w:rsidR="00B07592">
        <w:rPr>
          <w:b/>
          <w:bCs/>
        </w:rPr>
        <w:t xml:space="preserve"> </w:t>
      </w:r>
      <w:r w:rsidR="00907900">
        <w:rPr>
          <w:b/>
          <w:bCs/>
        </w:rPr>
        <w:t>or</w:t>
      </w:r>
      <w:r w:rsidR="00C607F8">
        <w:rPr>
          <w:b/>
          <w:bCs/>
        </w:rPr>
        <w:t xml:space="preserve"> inform MN about the absence of a candidate PSCell.</w:t>
      </w:r>
    </w:p>
    <w:p w14:paraId="07D8AC53" w14:textId="76601E2A" w:rsidR="00F52EE7" w:rsidRPr="005C1701" w:rsidRDefault="00C607F8">
      <w:pPr>
        <w:rPr>
          <w:b/>
          <w:bCs/>
        </w:rPr>
      </w:pPr>
      <w:r>
        <w:rPr>
          <w:b/>
          <w:bCs/>
        </w:rPr>
        <w:t xml:space="preserve">Proposal 3: </w:t>
      </w:r>
      <w:r w:rsidR="005C1701">
        <w:rPr>
          <w:b/>
          <w:bCs/>
        </w:rPr>
        <w:t xml:space="preserve">The MN will wait until the old SN confirms </w:t>
      </w:r>
      <w:r w:rsidR="00B07592">
        <w:rPr>
          <w:b/>
          <w:bCs/>
        </w:rPr>
        <w:t xml:space="preserve">and only if </w:t>
      </w:r>
      <w:r>
        <w:rPr>
          <w:b/>
          <w:bCs/>
        </w:rPr>
        <w:t>retaining or change of SN is not possible</w:t>
      </w:r>
      <w:r w:rsidR="00B07592">
        <w:rPr>
          <w:b/>
          <w:bCs/>
        </w:rPr>
        <w:t>,</w:t>
      </w:r>
      <w:r w:rsidR="005C1701">
        <w:rPr>
          <w:b/>
          <w:bCs/>
        </w:rPr>
        <w:t xml:space="preserve"> make its decision (e.g. </w:t>
      </w:r>
      <w:r>
        <w:rPr>
          <w:b/>
          <w:bCs/>
        </w:rPr>
        <w:t>change or remove the SN</w:t>
      </w:r>
      <w:r w:rsidR="005C1701">
        <w:rPr>
          <w:b/>
          <w:bCs/>
        </w:rPr>
        <w:t>).</w:t>
      </w:r>
    </w:p>
    <w:p w14:paraId="43A12B72" w14:textId="122FD1AB" w:rsidR="00CD4C7B" w:rsidRPr="006E13D1" w:rsidRDefault="00747093" w:rsidP="00CD4C7B">
      <w:pPr>
        <w:pStyle w:val="Heading1"/>
      </w:pPr>
      <w:r>
        <w:t>3</w:t>
      </w:r>
      <w:r w:rsidR="00CD4C7B" w:rsidRPr="006E13D1">
        <w:tab/>
      </w:r>
      <w:r w:rsidR="00A92394">
        <w:t>Conclusion</w:t>
      </w:r>
    </w:p>
    <w:p w14:paraId="4766B816" w14:textId="366C1041" w:rsidR="00717B43" w:rsidRDefault="6F86E34A" w:rsidP="00A92394">
      <w:r>
        <w:t xml:space="preserve">In this discussion paper, we have discussed the need for the network to </w:t>
      </w:r>
      <w:r w:rsidR="00C607F8">
        <w:t xml:space="preserve">prioritize the actions of MN and SN </w:t>
      </w:r>
      <w:r>
        <w:t xml:space="preserve">just after SCG RLF. </w:t>
      </w:r>
    </w:p>
    <w:p w14:paraId="5280920E" w14:textId="77777777" w:rsidR="00F41740" w:rsidRDefault="00F41740" w:rsidP="00F41740">
      <w:pPr>
        <w:rPr>
          <w:b/>
          <w:bCs/>
        </w:rPr>
      </w:pPr>
      <w:r w:rsidRPr="6F86E34A">
        <w:rPr>
          <w:b/>
          <w:bCs/>
        </w:rPr>
        <w:t xml:space="preserve">Proposal </w:t>
      </w:r>
      <w:r>
        <w:rPr>
          <w:b/>
          <w:bCs/>
        </w:rPr>
        <w:t>1</w:t>
      </w:r>
      <w:r w:rsidRPr="6F86E34A">
        <w:rPr>
          <w:b/>
          <w:bCs/>
        </w:rPr>
        <w:t xml:space="preserve">: </w:t>
      </w:r>
      <w:r>
        <w:rPr>
          <w:b/>
          <w:bCs/>
        </w:rPr>
        <w:t xml:space="preserve">The MN will always forward the </w:t>
      </w:r>
      <w:r w:rsidRPr="00EF3ADB">
        <w:rPr>
          <w:b/>
          <w:bCs/>
        </w:rPr>
        <w:t>SCGFailureInformation</w:t>
      </w:r>
      <w:r>
        <w:rPr>
          <w:b/>
          <w:bCs/>
        </w:rPr>
        <w:t xml:space="preserve"> message to the old SN. </w:t>
      </w:r>
    </w:p>
    <w:p w14:paraId="296FF43C" w14:textId="6BBFA0FA" w:rsidR="00F41740" w:rsidRDefault="00F41740" w:rsidP="00F41740">
      <w:pPr>
        <w:rPr>
          <w:b/>
          <w:bCs/>
        </w:rPr>
      </w:pPr>
      <w:r>
        <w:rPr>
          <w:b/>
          <w:bCs/>
        </w:rPr>
        <w:t xml:space="preserve">Proposal 2: The old SN processes the SCG failure information and decides either one of the following: retain the UE in the same SN, trigger SN change </w:t>
      </w:r>
      <w:r w:rsidR="00907900">
        <w:rPr>
          <w:b/>
          <w:bCs/>
        </w:rPr>
        <w:t>or</w:t>
      </w:r>
      <w:r>
        <w:rPr>
          <w:b/>
          <w:bCs/>
        </w:rPr>
        <w:t xml:space="preserve"> inform MN about the absence of a candidate PSCell.</w:t>
      </w:r>
    </w:p>
    <w:p w14:paraId="1F290FCF" w14:textId="4AAA7F5D" w:rsidR="00C607F8" w:rsidRDefault="00F41740" w:rsidP="00C607F8">
      <w:pPr>
        <w:rPr>
          <w:b/>
          <w:bCs/>
        </w:rPr>
      </w:pPr>
      <w:r>
        <w:rPr>
          <w:b/>
          <w:bCs/>
        </w:rPr>
        <w:lastRenderedPageBreak/>
        <w:t>Proposal 3: The MN will wait until the old SN confirms and only if retaining or change of SN is not possible, make its decision (e.g. change or remove the SN).</w:t>
      </w:r>
    </w:p>
    <w:p w14:paraId="0FDCFAC2" w14:textId="77777777" w:rsidR="00CD4C7B" w:rsidRPr="006E13D1" w:rsidRDefault="6F86E34A" w:rsidP="00CD4C7B">
      <w:pPr>
        <w:pStyle w:val="Heading1"/>
      </w:pPr>
      <w:r>
        <w:t>References</w:t>
      </w:r>
    </w:p>
    <w:p w14:paraId="35F222F4" w14:textId="15C9DCA9" w:rsidR="00080512" w:rsidRDefault="00D30C9B" w:rsidP="00CD4C7B">
      <w:pPr>
        <w:numPr>
          <w:ilvl w:val="0"/>
          <w:numId w:val="4"/>
        </w:numPr>
        <w:overflowPunct w:val="0"/>
        <w:autoSpaceDE w:val="0"/>
        <w:autoSpaceDN w:val="0"/>
        <w:adjustRightInd w:val="0"/>
        <w:textAlignment w:val="baseline"/>
      </w:pPr>
      <w:bookmarkStart w:id="2" w:name="_Ref75086397"/>
      <w:r w:rsidRPr="00D30C9B">
        <w:t>3GPP TS 36.133</w:t>
      </w:r>
      <w:r>
        <w:t xml:space="preserve">: </w:t>
      </w:r>
      <w:bookmarkEnd w:id="2"/>
      <w:r w:rsidR="00124EEB" w:rsidRPr="6F86E34A">
        <w:rPr>
          <w:i/>
          <w:iCs/>
        </w:rPr>
        <w:t xml:space="preserve">Evolved Universal Terrestrial Radio Access (E-UTRA); Requirements for support of radio resource management, </w:t>
      </w:r>
      <w:r w:rsidR="00124EEB" w:rsidRPr="00124EEB">
        <w:t>3GPP</w:t>
      </w:r>
    </w:p>
    <w:p w14:paraId="7C22F32B" w14:textId="1D5E47B5" w:rsidR="00166665" w:rsidRDefault="6F86E34A" w:rsidP="00CD4C7B">
      <w:pPr>
        <w:numPr>
          <w:ilvl w:val="0"/>
          <w:numId w:val="4"/>
        </w:numPr>
        <w:overflowPunct w:val="0"/>
        <w:autoSpaceDE w:val="0"/>
        <w:autoSpaceDN w:val="0"/>
        <w:adjustRightInd w:val="0"/>
        <w:textAlignment w:val="baseline"/>
      </w:pPr>
      <w:r>
        <w:t xml:space="preserve">R2-1706855: </w:t>
      </w:r>
      <w:r w:rsidRPr="6F86E34A">
        <w:rPr>
          <w:i/>
          <w:iCs/>
        </w:rPr>
        <w:t>UE measurements upon S-RLF for MR-DC</w:t>
      </w:r>
      <w:r>
        <w:t>, Nokia, Alcatel-Lucent Shanghai Bell</w:t>
      </w:r>
    </w:p>
    <w:p w14:paraId="44F1ACB1" w14:textId="5CDC8AF1" w:rsidR="00176DDC" w:rsidRPr="00CD4C7B" w:rsidRDefault="00176DDC" w:rsidP="00176DDC">
      <w:pPr>
        <w:numPr>
          <w:ilvl w:val="0"/>
          <w:numId w:val="4"/>
        </w:numPr>
        <w:overflowPunct w:val="0"/>
        <w:autoSpaceDE w:val="0"/>
        <w:autoSpaceDN w:val="0"/>
        <w:adjustRightInd w:val="0"/>
        <w:textAlignment w:val="baseline"/>
      </w:pPr>
      <w:r>
        <w:t>R2-1709246:</w:t>
      </w:r>
      <w:r w:rsidRPr="00176DDC">
        <w:t xml:space="preserve"> </w:t>
      </w:r>
      <w:r w:rsidRPr="00176DDC">
        <w:rPr>
          <w:i/>
          <w:iCs/>
        </w:rPr>
        <w:t>Further considerations on UE measurements during S-RLF</w:t>
      </w:r>
      <w:r w:rsidRPr="00176DDC">
        <w:rPr>
          <w:iCs/>
        </w:rPr>
        <w:t>,</w:t>
      </w:r>
      <w:r w:rsidRPr="00176DDC">
        <w:t xml:space="preserve"> </w:t>
      </w:r>
      <w:r w:rsidRPr="00176DDC">
        <w:rPr>
          <w:iCs/>
        </w:rPr>
        <w:t>Nokia, Nokia Shanghai Bell</w:t>
      </w:r>
    </w:p>
    <w:sectPr w:rsidR="00176DDC" w:rsidRPr="00CD4C7B" w:rsidSect="008B06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D1E1F" w14:textId="77777777" w:rsidR="0092122D" w:rsidRDefault="0092122D">
      <w:r>
        <w:separator/>
      </w:r>
    </w:p>
  </w:endnote>
  <w:endnote w:type="continuationSeparator" w:id="0">
    <w:p w14:paraId="6A0227BE" w14:textId="77777777" w:rsidR="0092122D" w:rsidRDefault="0092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FE53F" w14:textId="77777777" w:rsidR="0092122D" w:rsidRDefault="0092122D">
      <w:r>
        <w:separator/>
      </w:r>
    </w:p>
  </w:footnote>
  <w:footnote w:type="continuationSeparator" w:id="0">
    <w:p w14:paraId="03054FE1" w14:textId="77777777" w:rsidR="0092122D" w:rsidRDefault="00921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56AEE"/>
    <w:multiLevelType w:val="hybridMultilevel"/>
    <w:tmpl w:val="C7C8B6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D72C9"/>
    <w:rsid w:val="00124EEB"/>
    <w:rsid w:val="00145075"/>
    <w:rsid w:val="00166665"/>
    <w:rsid w:val="00167D04"/>
    <w:rsid w:val="001741A0"/>
    <w:rsid w:val="00174A66"/>
    <w:rsid w:val="00176DDC"/>
    <w:rsid w:val="00194CD0"/>
    <w:rsid w:val="00195AE9"/>
    <w:rsid w:val="001A2DE0"/>
    <w:rsid w:val="001B49C9"/>
    <w:rsid w:val="001E346E"/>
    <w:rsid w:val="001F168B"/>
    <w:rsid w:val="001F7831"/>
    <w:rsid w:val="00204045"/>
    <w:rsid w:val="00223984"/>
    <w:rsid w:val="0022606D"/>
    <w:rsid w:val="002675AD"/>
    <w:rsid w:val="002747EC"/>
    <w:rsid w:val="002855BF"/>
    <w:rsid w:val="002913A2"/>
    <w:rsid w:val="002F0D22"/>
    <w:rsid w:val="003172DC"/>
    <w:rsid w:val="00326069"/>
    <w:rsid w:val="0035462D"/>
    <w:rsid w:val="003B40AD"/>
    <w:rsid w:val="003C4E37"/>
    <w:rsid w:val="003E16BE"/>
    <w:rsid w:val="003E6C76"/>
    <w:rsid w:val="00401855"/>
    <w:rsid w:val="0045336E"/>
    <w:rsid w:val="00456E1D"/>
    <w:rsid w:val="00467C82"/>
    <w:rsid w:val="00477455"/>
    <w:rsid w:val="00482364"/>
    <w:rsid w:val="004C296B"/>
    <w:rsid w:val="004D3578"/>
    <w:rsid w:val="004D380D"/>
    <w:rsid w:val="004E213A"/>
    <w:rsid w:val="00503171"/>
    <w:rsid w:val="00506C28"/>
    <w:rsid w:val="00534DA0"/>
    <w:rsid w:val="00535928"/>
    <w:rsid w:val="00543E6C"/>
    <w:rsid w:val="00565087"/>
    <w:rsid w:val="0056573F"/>
    <w:rsid w:val="005C1701"/>
    <w:rsid w:val="005F7BC9"/>
    <w:rsid w:val="00611566"/>
    <w:rsid w:val="00631423"/>
    <w:rsid w:val="00646D99"/>
    <w:rsid w:val="00656910"/>
    <w:rsid w:val="006C66D8"/>
    <w:rsid w:val="006D1E24"/>
    <w:rsid w:val="006E1417"/>
    <w:rsid w:val="006F6A2C"/>
    <w:rsid w:val="00710201"/>
    <w:rsid w:val="00717B43"/>
    <w:rsid w:val="00734A5B"/>
    <w:rsid w:val="00740486"/>
    <w:rsid w:val="00744E76"/>
    <w:rsid w:val="00747093"/>
    <w:rsid w:val="00757D40"/>
    <w:rsid w:val="00781F0F"/>
    <w:rsid w:val="0078727C"/>
    <w:rsid w:val="0079049D"/>
    <w:rsid w:val="007B18D8"/>
    <w:rsid w:val="007B577A"/>
    <w:rsid w:val="007C095F"/>
    <w:rsid w:val="007C6271"/>
    <w:rsid w:val="008028A4"/>
    <w:rsid w:val="00813245"/>
    <w:rsid w:val="00845FA6"/>
    <w:rsid w:val="0085755B"/>
    <w:rsid w:val="008768CA"/>
    <w:rsid w:val="00877EF9"/>
    <w:rsid w:val="00880559"/>
    <w:rsid w:val="0089173D"/>
    <w:rsid w:val="008B06D1"/>
    <w:rsid w:val="008B5306"/>
    <w:rsid w:val="0090271F"/>
    <w:rsid w:val="00902DB9"/>
    <w:rsid w:val="0090466A"/>
    <w:rsid w:val="00907900"/>
    <w:rsid w:val="0092122D"/>
    <w:rsid w:val="00936071"/>
    <w:rsid w:val="00940212"/>
    <w:rsid w:val="00942EC2"/>
    <w:rsid w:val="00952931"/>
    <w:rsid w:val="00961B32"/>
    <w:rsid w:val="00962D7A"/>
    <w:rsid w:val="00970DB3"/>
    <w:rsid w:val="00974BB0"/>
    <w:rsid w:val="009A0AF3"/>
    <w:rsid w:val="009A0C30"/>
    <w:rsid w:val="009B07CD"/>
    <w:rsid w:val="009C19E9"/>
    <w:rsid w:val="00A10F02"/>
    <w:rsid w:val="00A204CA"/>
    <w:rsid w:val="00A53724"/>
    <w:rsid w:val="00A64815"/>
    <w:rsid w:val="00A6484D"/>
    <w:rsid w:val="00A75A51"/>
    <w:rsid w:val="00A82346"/>
    <w:rsid w:val="00A92394"/>
    <w:rsid w:val="00A9671C"/>
    <w:rsid w:val="00AA1553"/>
    <w:rsid w:val="00AE3B83"/>
    <w:rsid w:val="00B07592"/>
    <w:rsid w:val="00B15449"/>
    <w:rsid w:val="00B22504"/>
    <w:rsid w:val="00B47FD1"/>
    <w:rsid w:val="00B516BB"/>
    <w:rsid w:val="00B703DD"/>
    <w:rsid w:val="00BD0E51"/>
    <w:rsid w:val="00BD1CB8"/>
    <w:rsid w:val="00BF57C7"/>
    <w:rsid w:val="00C12B51"/>
    <w:rsid w:val="00C136D1"/>
    <w:rsid w:val="00C24650"/>
    <w:rsid w:val="00C33079"/>
    <w:rsid w:val="00C607F8"/>
    <w:rsid w:val="00C83A13"/>
    <w:rsid w:val="00C9068C"/>
    <w:rsid w:val="00C92967"/>
    <w:rsid w:val="00CA3D0C"/>
    <w:rsid w:val="00CA654B"/>
    <w:rsid w:val="00CD4C7B"/>
    <w:rsid w:val="00CE6C74"/>
    <w:rsid w:val="00CE6CA3"/>
    <w:rsid w:val="00D1048D"/>
    <w:rsid w:val="00D30C9B"/>
    <w:rsid w:val="00D44885"/>
    <w:rsid w:val="00D451FF"/>
    <w:rsid w:val="00D738D6"/>
    <w:rsid w:val="00D80795"/>
    <w:rsid w:val="00D87E00"/>
    <w:rsid w:val="00D9134D"/>
    <w:rsid w:val="00D96D11"/>
    <w:rsid w:val="00DA7A03"/>
    <w:rsid w:val="00DB1818"/>
    <w:rsid w:val="00DC309B"/>
    <w:rsid w:val="00DC4DA2"/>
    <w:rsid w:val="00DD4CEC"/>
    <w:rsid w:val="00E62835"/>
    <w:rsid w:val="00E77645"/>
    <w:rsid w:val="00E83697"/>
    <w:rsid w:val="00E841AF"/>
    <w:rsid w:val="00E92283"/>
    <w:rsid w:val="00EC4A25"/>
    <w:rsid w:val="00F025A2"/>
    <w:rsid w:val="00F07388"/>
    <w:rsid w:val="00F14309"/>
    <w:rsid w:val="00F2026E"/>
    <w:rsid w:val="00F2210A"/>
    <w:rsid w:val="00F37743"/>
    <w:rsid w:val="00F41740"/>
    <w:rsid w:val="00F52EE7"/>
    <w:rsid w:val="00F54A3D"/>
    <w:rsid w:val="00F653B8"/>
    <w:rsid w:val="00F663C9"/>
    <w:rsid w:val="00F71B89"/>
    <w:rsid w:val="00F7353C"/>
    <w:rsid w:val="00F76F8F"/>
    <w:rsid w:val="00FA1266"/>
    <w:rsid w:val="00FC1192"/>
    <w:rsid w:val="015811E6"/>
    <w:rsid w:val="03DFA8FF"/>
    <w:rsid w:val="1127CBED"/>
    <w:rsid w:val="2A520D83"/>
    <w:rsid w:val="6F86E34A"/>
    <w:rsid w:val="7E31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70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3DD"/>
    <w:rPr>
      <w:rFonts w:ascii="Arial" w:eastAsia="MS Mincho" w:hAnsi="Arial"/>
      <w:szCs w:val="24"/>
    </w:rPr>
  </w:style>
  <w:style w:type="paragraph" w:styleId="BalloonText">
    <w:name w:val="Balloon Text"/>
    <w:basedOn w:val="Normal"/>
    <w:link w:val="BalloonTextChar"/>
    <w:semiHidden/>
    <w:unhideWhenUsed/>
    <w:rsid w:val="008B06D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B06D1"/>
    <w:rPr>
      <w:rFonts w:ascii="Segoe UI" w:hAnsi="Segoe UI" w:cs="Segoe UI"/>
      <w:sz w:val="18"/>
      <w:szCs w:val="18"/>
      <w:lang w:eastAsia="en-US"/>
    </w:rPr>
  </w:style>
  <w:style w:type="character" w:styleId="CommentReference">
    <w:name w:val="annotation reference"/>
    <w:basedOn w:val="DefaultParagraphFont"/>
    <w:rsid w:val="0085755B"/>
    <w:rPr>
      <w:sz w:val="16"/>
      <w:szCs w:val="16"/>
    </w:rPr>
  </w:style>
  <w:style w:type="paragraph" w:styleId="CommentText">
    <w:name w:val="annotation text"/>
    <w:basedOn w:val="Normal"/>
    <w:link w:val="CommentTextChar"/>
    <w:rsid w:val="0085755B"/>
  </w:style>
  <w:style w:type="character" w:customStyle="1" w:styleId="CommentTextChar">
    <w:name w:val="Comment Text Char"/>
    <w:basedOn w:val="DefaultParagraphFont"/>
    <w:link w:val="CommentText"/>
    <w:rsid w:val="0085755B"/>
    <w:rPr>
      <w:lang w:eastAsia="en-US"/>
    </w:rPr>
  </w:style>
  <w:style w:type="paragraph" w:styleId="CommentSubject">
    <w:name w:val="annotation subject"/>
    <w:basedOn w:val="CommentText"/>
    <w:next w:val="CommentText"/>
    <w:link w:val="CommentSubjectChar"/>
    <w:rsid w:val="0085755B"/>
    <w:rPr>
      <w:b/>
      <w:bCs/>
    </w:rPr>
  </w:style>
  <w:style w:type="character" w:customStyle="1" w:styleId="CommentSubjectChar">
    <w:name w:val="Comment Subject Char"/>
    <w:basedOn w:val="CommentTextChar"/>
    <w:link w:val="CommentSubject"/>
    <w:rsid w:val="0085755B"/>
    <w:rPr>
      <w:b/>
      <w:bCs/>
      <w:lang w:eastAsia="en-US"/>
    </w:rPr>
  </w:style>
  <w:style w:type="paragraph" w:styleId="ListParagraph">
    <w:name w:val="List Paragraph"/>
    <w:basedOn w:val="Normal"/>
    <w:uiPriority w:val="34"/>
    <w:qFormat/>
    <w:rsid w:val="009A0C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SP-5AIRPNAIUNRU-859666464-666</_dlc_DocId>
    <_dlc_DocIdUrl xmlns="71c5aaf6-e6ce-465b-b873-5148d2a4c105">
      <Url>https://nokia.sharepoint.com/sites/c5g/e2earch/_layouts/15/DocIdRedir.aspx?ID=SP-5AIRPNAIUNRU-859666464-666</Url>
      <Description>SP-5AIRPNAIUNRU-859666464-666</Description>
    </_dlc_DocIdUrl>
  </documentManagement>
</p:properties>
</file>

<file path=customXml/itemProps1.xml><?xml version="1.0" encoding="utf-8"?>
<ds:datastoreItem xmlns:ds="http://schemas.openxmlformats.org/officeDocument/2006/customXml" ds:itemID="{60C6E8EF-AE70-49CA-8A04-AD0D3EF44608}">
  <ds:schemaRefs>
    <ds:schemaRef ds:uri="http://schemas.microsoft.com/sharepoint/v3/contenttype/forms"/>
  </ds:schemaRefs>
</ds:datastoreItem>
</file>

<file path=customXml/itemProps2.xml><?xml version="1.0" encoding="utf-8"?>
<ds:datastoreItem xmlns:ds="http://schemas.openxmlformats.org/officeDocument/2006/customXml" ds:itemID="{F3F0812C-1D4A-42D4-AE12-6F850FB788D3}">
  <ds:schemaRefs>
    <ds:schemaRef ds:uri="http://schemas.microsoft.com/sharepoint/events"/>
  </ds:schemaRefs>
</ds:datastoreItem>
</file>

<file path=customXml/itemProps3.xml><?xml version="1.0" encoding="utf-8"?>
<ds:datastoreItem xmlns:ds="http://schemas.openxmlformats.org/officeDocument/2006/customXml" ds:itemID="{191C0902-BB9F-4A8D-B825-F57F9CE1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745B9-7F8F-492B-8862-043B33491266}">
  <ds:schemaRefs>
    <ds:schemaRef ds:uri="83f22d2f-d16e-4be6-ad4f-29fa0b067c3c"/>
    <ds:schemaRef ds:uri="http://purl.org/dc/dcmitype/"/>
    <ds:schemaRef ds:uri="http://schemas.openxmlformats.org/package/2006/metadata/core-properties"/>
    <ds:schemaRef ds:uri="71c5aaf6-e6ce-465b-b873-5148d2a4c105"/>
    <ds:schemaRef ds:uri="http://schemas.microsoft.com/office/infopath/2007/PartnerControls"/>
    <ds:schemaRef ds:uri="3b34c8f0-1ef5-4d1e-bb66-517ce7fe7356"/>
    <ds:schemaRef ds:uri="a3840f4f-04be-43d1-b2ef-6ff1382503c7"/>
    <ds:schemaRef ds:uri="http://schemas.microsoft.com/office/2006/documentManagement/types"/>
    <ds:schemaRef ds:uri="http://purl.org/dc/term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Chandrashekar, Subramanya (Nokia - IN/Bangalore)</dc:creator>
  <cp:lastModifiedBy>Ali, Amaanat (Nokia - FI/Espoo)</cp:lastModifiedBy>
  <cp:revision>6</cp:revision>
  <dcterms:created xsi:type="dcterms:W3CDTF">2017-08-11T10:00:00Z</dcterms:created>
  <dcterms:modified xsi:type="dcterms:W3CDTF">2017-08-11T12:06:00Z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c4885211-11d4-49e4-a1c3-b7f855ecabed</vt:lpwstr>
  </property>
</Properties>
</file>